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E" w:rsidRDefault="0040527E" w:rsidP="0040527E">
      <w:pPr>
        <w:widowControl w:val="0"/>
        <w:autoSpaceDE w:val="0"/>
        <w:autoSpaceDN w:val="0"/>
        <w:adjustRightInd w:val="0"/>
        <w:rPr>
          <w:rFonts w:ascii="Helvetica Neue" w:hAnsi="Helvetica Neue" w:cs="Helvetica Neue"/>
          <w:color w:val="8F0F19"/>
        </w:rPr>
      </w:pPr>
      <w:r>
        <w:rPr>
          <w:rFonts w:ascii="Helvetica Neue" w:hAnsi="Helvetica Neue" w:cs="Helvetica Neue"/>
          <w:color w:val="8F0F19"/>
        </w:rPr>
        <w:t>EN 2015 CUMPLIRÁ UNA DÉCADA DE HISTORIA</w:t>
      </w:r>
    </w:p>
    <w:p w:rsidR="0040527E" w:rsidRDefault="0040527E" w:rsidP="0040527E">
      <w:pPr>
        <w:widowControl w:val="0"/>
        <w:autoSpaceDE w:val="0"/>
        <w:autoSpaceDN w:val="0"/>
        <w:adjustRightInd w:val="0"/>
        <w:rPr>
          <w:rFonts w:ascii="Lucida Grande" w:hAnsi="Lucida Grande" w:cs="Lucida Grande"/>
          <w:color w:val="0E0E0E"/>
          <w:sz w:val="44"/>
          <w:szCs w:val="44"/>
        </w:rPr>
      </w:pPr>
      <w:r>
        <w:rPr>
          <w:rFonts w:ascii="Lucida Grande" w:hAnsi="Lucida Grande" w:cs="Lucida Grande"/>
          <w:color w:val="0E0E0E"/>
          <w:sz w:val="44"/>
          <w:szCs w:val="44"/>
        </w:rPr>
        <w:t>"La industria de private equity en Colombia vive un momento clave"</w:t>
      </w:r>
    </w:p>
    <w:p w:rsidR="0040527E" w:rsidRDefault="0040527E" w:rsidP="0040527E">
      <w:pPr>
        <w:widowControl w:val="0"/>
        <w:autoSpaceDE w:val="0"/>
        <w:autoSpaceDN w:val="0"/>
        <w:adjustRightInd w:val="0"/>
        <w:spacing w:after="180"/>
        <w:rPr>
          <w:rFonts w:ascii="Lucida Grande" w:hAnsi="Lucida Grande" w:cs="Lucida Grande"/>
          <w:color w:val="262626"/>
        </w:rPr>
      </w:pPr>
      <w:r>
        <w:rPr>
          <w:rFonts w:ascii="Lucida Grande" w:hAnsi="Lucida Grande" w:cs="Lucida Grande"/>
          <w:color w:val="262626"/>
        </w:rPr>
        <w:t>Entrevista a Isabella Muñóz Méndez, directora ejecutiva de ColCapital (Asociación Colombiana de Fondos de Capital Privado y Emprendedor)</w:t>
      </w:r>
    </w:p>
    <w:p w:rsidR="0040527E" w:rsidRDefault="0040527E" w:rsidP="0040527E">
      <w:pPr>
        <w:widowControl w:val="0"/>
        <w:autoSpaceDE w:val="0"/>
        <w:autoSpaceDN w:val="0"/>
        <w:adjustRightInd w:val="0"/>
        <w:spacing w:after="180"/>
        <w:rPr>
          <w:rFonts w:ascii="Lucida Grande" w:hAnsi="Lucida Grande" w:cs="Lucida Grande"/>
          <w:color w:val="262626"/>
        </w:rPr>
      </w:pPr>
    </w:p>
    <w:p w:rsidR="0040527E" w:rsidRDefault="0040527E" w:rsidP="0040527E">
      <w:pPr>
        <w:widowControl w:val="0"/>
        <w:autoSpaceDE w:val="0"/>
        <w:autoSpaceDN w:val="0"/>
        <w:adjustRightInd w:val="0"/>
        <w:rPr>
          <w:rFonts w:ascii="Helvetica Neue" w:hAnsi="Helvetica Neue" w:cs="Helvetica Neue"/>
          <w:sz w:val="22"/>
          <w:szCs w:val="22"/>
        </w:rPr>
      </w:pPr>
      <w:r>
        <w:rPr>
          <w:rFonts w:ascii="Verdana" w:hAnsi="Verdana" w:cs="Verdana"/>
          <w:sz w:val="22"/>
          <w:szCs w:val="22"/>
        </w:rPr>
        <w:t> 12</w:t>
      </w:r>
      <w:r>
        <w:rPr>
          <w:rFonts w:ascii="Helvetica Neue" w:hAnsi="Helvetica Neue" w:cs="Helvetica Neue"/>
          <w:color w:val="1A1A1A"/>
        </w:rPr>
        <w:t xml:space="preserve"> </w:t>
      </w:r>
      <w:r>
        <w:rPr>
          <w:rFonts w:ascii="Verdana" w:hAnsi="Verdana" w:cs="Verdana"/>
          <w:sz w:val="22"/>
          <w:szCs w:val="22"/>
        </w:rPr>
        <w:t> 11</w:t>
      </w:r>
      <w:r>
        <w:rPr>
          <w:rFonts w:ascii="Helvetica Neue" w:hAnsi="Helvetica Neue" w:cs="Helvetica Neue"/>
          <w:color w:val="1A1A1A"/>
        </w:rPr>
        <w:t xml:space="preserve"> </w:t>
      </w:r>
      <w:r>
        <w:rPr>
          <w:rFonts w:ascii="Verdana" w:hAnsi="Verdana" w:cs="Verdana"/>
          <w:sz w:val="22"/>
          <w:szCs w:val="22"/>
        </w:rPr>
        <w:t> 0</w:t>
      </w:r>
      <w:r>
        <w:rPr>
          <w:rFonts w:ascii="Helvetica Neue" w:hAnsi="Helvetica Neue" w:cs="Helvetica Neue"/>
          <w:color w:val="1A1A1A"/>
        </w:rPr>
        <w:t xml:space="preserve"> </w:t>
      </w:r>
      <w:r>
        <w:rPr>
          <w:rFonts w:ascii="Verdana" w:hAnsi="Verdana" w:cs="Verdana"/>
          <w:sz w:val="22"/>
          <w:szCs w:val="22"/>
        </w:rPr>
        <w:t> 345</w:t>
      </w:r>
      <w:r>
        <w:rPr>
          <w:rFonts w:ascii="Helvetica Neue" w:hAnsi="Helvetica Neue" w:cs="Helvetica Neue"/>
          <w:color w:val="1A1A1A"/>
        </w:rPr>
        <w:t xml:space="preserve">  </w:t>
      </w:r>
    </w:p>
    <w:p w:rsidR="0040527E" w:rsidRDefault="0040527E" w:rsidP="0040527E">
      <w:pPr>
        <w:widowControl w:val="0"/>
        <w:autoSpaceDE w:val="0"/>
        <w:autoSpaceDN w:val="0"/>
        <w:adjustRightInd w:val="0"/>
        <w:rPr>
          <w:rFonts w:ascii="Helvetica Neue" w:hAnsi="Helvetica Neue" w:cs="Helvetica Neue"/>
          <w:color w:val="646464"/>
          <w:sz w:val="22"/>
          <w:szCs w:val="22"/>
        </w:rPr>
      </w:pPr>
      <w:r>
        <w:rPr>
          <w:rFonts w:ascii="Helvetica Neue" w:hAnsi="Helvetica Neue" w:cs="Helvetica Neue"/>
          <w:color w:val="646464"/>
          <w:sz w:val="22"/>
          <w:szCs w:val="22"/>
        </w:rPr>
        <w:t>29/Mayo/2014 |</w:t>
      </w:r>
    </w:p>
    <w:p w:rsidR="0040527E" w:rsidRDefault="0040527E" w:rsidP="0040527E">
      <w:pPr>
        <w:widowControl w:val="0"/>
        <w:autoSpaceDE w:val="0"/>
        <w:autoSpaceDN w:val="0"/>
        <w:adjustRightInd w:val="0"/>
        <w:rPr>
          <w:rFonts w:ascii="Helvetica Neue" w:hAnsi="Helvetica Neue" w:cs="Helvetica Neue"/>
          <w:color w:val="8F0F19"/>
          <w:sz w:val="22"/>
          <w:szCs w:val="22"/>
        </w:rPr>
      </w:pPr>
      <w:hyperlink r:id="rId5" w:history="1">
        <w:r>
          <w:rPr>
            <w:rFonts w:ascii="Helvetica Neue" w:hAnsi="Helvetica Neue" w:cs="Helvetica Neue"/>
            <w:color w:val="8F0F19"/>
            <w:sz w:val="22"/>
            <w:szCs w:val="22"/>
          </w:rPr>
          <w:t>Janette Recarte</w:t>
        </w:r>
      </w:hyperlink>
    </w:p>
    <w:p w:rsidR="0040527E" w:rsidRDefault="0040527E" w:rsidP="0040527E">
      <w:pPr>
        <w:widowControl w:val="0"/>
        <w:autoSpaceDE w:val="0"/>
        <w:autoSpaceDN w:val="0"/>
        <w:adjustRightInd w:val="0"/>
        <w:rPr>
          <w:rFonts w:ascii="Helvetica Neue" w:hAnsi="Helvetica Neue" w:cs="Helvetica Neue"/>
          <w:color w:val="1A1A1A"/>
        </w:rPr>
      </w:pPr>
      <w:hyperlink r:id="rId6" w:history="1">
        <w:r>
          <w:rPr>
            <w:rFonts w:ascii="Helvetica Neue" w:hAnsi="Helvetica Neue" w:cs="Helvetica Neue"/>
            <w:color w:val="03274E"/>
            <w:sz w:val="28"/>
            <w:szCs w:val="28"/>
          </w:rPr>
          <w:t>Alternativos</w:t>
        </w:r>
      </w:hyperlink>
    </w:p>
    <w:p w:rsidR="0040527E" w:rsidRDefault="0040527E" w:rsidP="0040527E">
      <w:pPr>
        <w:widowControl w:val="0"/>
        <w:autoSpaceDE w:val="0"/>
        <w:autoSpaceDN w:val="0"/>
        <w:adjustRightInd w:val="0"/>
        <w:rPr>
          <w:rFonts w:ascii="Helvetica Neue" w:hAnsi="Helvetica Neue" w:cs="Helvetica Neue"/>
          <w:color w:val="1A1A1A"/>
        </w:rPr>
      </w:pPr>
      <w:hyperlink r:id="rId7" w:history="1">
        <w:r>
          <w:rPr>
            <w:rFonts w:ascii="Helvetica Neue" w:hAnsi="Helvetica Neue" w:cs="Helvetica Neue"/>
            <w:color w:val="03274E"/>
            <w:sz w:val="28"/>
            <w:szCs w:val="28"/>
          </w:rPr>
          <w:t>Colombia</w:t>
        </w:r>
      </w:hyperlink>
    </w:p>
    <w:p w:rsidR="0040527E" w:rsidRDefault="0040527E" w:rsidP="0040527E">
      <w:pPr>
        <w:widowControl w:val="0"/>
        <w:autoSpaceDE w:val="0"/>
        <w:autoSpaceDN w:val="0"/>
        <w:adjustRightInd w:val="0"/>
        <w:rPr>
          <w:rFonts w:ascii="Helvetica Neue" w:hAnsi="Helvetica Neue" w:cs="Helvetica Neue"/>
          <w:color w:val="1A1A1A"/>
        </w:rPr>
      </w:pPr>
    </w:p>
    <w:p w:rsidR="0040527E" w:rsidRDefault="0040527E" w:rsidP="0040527E">
      <w:pPr>
        <w:widowControl w:val="0"/>
        <w:autoSpaceDE w:val="0"/>
        <w:autoSpaceDN w:val="0"/>
        <w:adjustRightInd w:val="0"/>
        <w:rPr>
          <w:rFonts w:ascii="Helvetica Neue" w:hAnsi="Helvetica Neue" w:cs="Helvetica Neue"/>
          <w:color w:val="1A1A1A"/>
          <w:sz w:val="20"/>
          <w:szCs w:val="20"/>
        </w:rPr>
      </w:pPr>
      <w:r>
        <w:rPr>
          <w:rFonts w:ascii="Helvetica Neue" w:hAnsi="Helvetica Neue" w:cs="Helvetica Neue"/>
          <w:color w:val="1A1A1A"/>
          <w:sz w:val="20"/>
          <w:szCs w:val="20"/>
        </w:rPr>
        <w:t>Isabella Muñóz Méndez. Foto: cedida.</w:t>
      </w:r>
    </w:p>
    <w:p w:rsidR="0040527E" w:rsidRDefault="0040527E" w:rsidP="0040527E">
      <w:pPr>
        <w:widowControl w:val="0"/>
        <w:autoSpaceDE w:val="0"/>
        <w:autoSpaceDN w:val="0"/>
        <w:adjustRightInd w:val="0"/>
        <w:spacing w:after="360"/>
        <w:rPr>
          <w:rFonts w:ascii="Helvetica Neue" w:hAnsi="Helvetica Neue" w:cs="Helvetica Neue"/>
          <w:color w:val="1A1A1A"/>
        </w:rPr>
      </w:pPr>
      <w:r>
        <w:rPr>
          <w:rFonts w:ascii="Helvetica Neue" w:hAnsi="Helvetica Neue" w:cs="Helvetica Neue"/>
          <w:color w:val="1A1A1A"/>
        </w:rPr>
        <w:t>Los fondos de capital privado emprendedor, mejor conocidos como private equity y venture capital, son una industria incipiente en Colombia pero con un gran potencial y fortaleza. Con sus orígenes en el año 2005, cuando apenas existía dos gestoras profesionales, ahora cuenta con un total de 33 gestores, casi 4.600 millones de dólares en compromisos de capital, de los cuales casi 2.800 millones están invertidos en 194 empresas y proyectos en Colombia (datos que sólo consideran a los miembros de ColCapital). Ahora la industria se enfrenta a un momento clave: cuando las primeras inversiones dan a conocer sus resultados.</w:t>
      </w:r>
    </w:p>
    <w:p w:rsidR="0040527E" w:rsidRDefault="0040527E" w:rsidP="0040527E">
      <w:pPr>
        <w:widowControl w:val="0"/>
        <w:autoSpaceDE w:val="0"/>
        <w:autoSpaceDN w:val="0"/>
        <w:adjustRightInd w:val="0"/>
        <w:spacing w:after="360"/>
        <w:rPr>
          <w:rFonts w:ascii="Helvetica Neue" w:hAnsi="Helvetica Neue" w:cs="Helvetica Neue"/>
          <w:color w:val="1A1A1A"/>
        </w:rPr>
      </w:pPr>
      <w:r>
        <w:rPr>
          <w:rFonts w:ascii="Helvetica Neue" w:hAnsi="Helvetica Neue" w:cs="Helvetica Neue"/>
          <w:color w:val="1A1A1A"/>
        </w:rPr>
        <w:t xml:space="preserve">"Los inversionistas de los fondos de capital privado y emprendedor se muestran inquietos y muestran cautela ya que sus primeras inversiones en fondos de capital están por ofrecer sus resultados", explica Isabella Muñóz Méndez, directora ejecutiva de ColCapital (Asociación Colombiana de Fondos de Capital Privado y Emprendedor). Es el momento de la verdad en el que se descubrirá si las estimaciones teóricas de las rentabilidades esperadas fueron alcanzados o superados. "Quieren estar seguros de que sus inversiones han cumplido con los esperado antes de invertir en nuevos gestores profesionales. Por ello, </w:t>
      </w:r>
      <w:r>
        <w:rPr>
          <w:rFonts w:ascii="Helvetica Neue" w:hAnsi="Helvetica Neue" w:cs="Helvetica Neue"/>
          <w:b/>
          <w:bCs/>
          <w:color w:val="1A1A1A"/>
        </w:rPr>
        <w:t>entre 2014 y 2015 esperamos una actividad muy intensa en cuanto a inversiones y salidas de los activos de los portafolios de los fondos, con una actividad de fundraising local bastante limitado y un ritmo calmado en cuanto a la creación de nuevos fondos".</w:t>
      </w:r>
    </w:p>
    <w:p w:rsidR="0040527E" w:rsidRDefault="0040527E" w:rsidP="0040527E">
      <w:pPr>
        <w:widowControl w:val="0"/>
        <w:autoSpaceDE w:val="0"/>
        <w:autoSpaceDN w:val="0"/>
        <w:adjustRightInd w:val="0"/>
        <w:spacing w:after="360"/>
        <w:rPr>
          <w:rFonts w:ascii="Helvetica Neue" w:hAnsi="Helvetica Neue" w:cs="Helvetica Neue"/>
          <w:color w:val="1A1A1A"/>
        </w:rPr>
      </w:pPr>
      <w:r>
        <w:rPr>
          <w:rFonts w:ascii="Helvetica Neue" w:hAnsi="Helvetica Neue" w:cs="Helvetica Neue"/>
          <w:color w:val="1A1A1A"/>
        </w:rPr>
        <w:t>A este aspecto se le une otro que hace que el momento actual sea de gran importancia para la industria. "Mientras que los fondos de pensiones, aseguradoras e instituciones financieras de fomento (como Bancóldex y Fomin) siguen siendo los principales inversionistas de los private equity, cada vez son más los actores económicos interesados en este segmento", apunta Muñoz Méndez. Las compañías de seguros como Seguros Bolívar, Suramericana o Global Seguros son activos en la industria, y los fondos de pensiones extranjeros han modificado su forma de ver la inversión en el país.</w:t>
      </w:r>
      <w:r>
        <w:rPr>
          <w:rFonts w:ascii="Helvetica Neue" w:hAnsi="Helvetica Neue" w:cs="Helvetica Neue"/>
          <w:b/>
          <w:bCs/>
          <w:color w:val="1A1A1A"/>
        </w:rPr>
        <w:t xml:space="preserve"> "Sobre todo los fondos americanos se muestran cada vez más interesados en venir a invertir en el país. </w:t>
      </w:r>
      <w:r>
        <w:rPr>
          <w:rFonts w:ascii="Helvetica Neue" w:hAnsi="Helvetica Neue" w:cs="Helvetica Neue"/>
          <w:color w:val="1A1A1A"/>
        </w:rPr>
        <w:t>Son conscientes de las oportunidades que ofrece el mid market, a pesar de ofrecer un tamaño pequeño en cuanto a las escalas a los que están acostumbrados.</w:t>
      </w:r>
      <w:r>
        <w:rPr>
          <w:rFonts w:ascii="Helvetica Neue" w:hAnsi="Helvetica Neue" w:cs="Helvetica Neue"/>
          <w:b/>
          <w:bCs/>
          <w:color w:val="1A1A1A"/>
        </w:rPr>
        <w:t xml:space="preserve"> Vemos en los próximos meses un incremento en la participación americana".</w:t>
      </w:r>
    </w:p>
    <w:p w:rsidR="0040527E" w:rsidRDefault="0040527E" w:rsidP="0040527E">
      <w:pPr>
        <w:widowControl w:val="0"/>
        <w:autoSpaceDE w:val="0"/>
        <w:autoSpaceDN w:val="0"/>
        <w:adjustRightInd w:val="0"/>
        <w:spacing w:after="360"/>
        <w:rPr>
          <w:rFonts w:ascii="Helvetica Neue" w:hAnsi="Helvetica Neue" w:cs="Helvetica Neue"/>
          <w:color w:val="1A1A1A"/>
        </w:rPr>
      </w:pPr>
      <w:r>
        <w:rPr>
          <w:rFonts w:ascii="Helvetica Neue" w:hAnsi="Helvetica Neue" w:cs="Helvetica Neue"/>
          <w:color w:val="1A1A1A"/>
        </w:rPr>
        <w:t xml:space="preserve">Asimismo, </w:t>
      </w:r>
      <w:r>
        <w:rPr>
          <w:rFonts w:ascii="Helvetica Neue" w:hAnsi="Helvetica Neue" w:cs="Helvetica Neue"/>
          <w:b/>
          <w:bCs/>
          <w:color w:val="1A1A1A"/>
        </w:rPr>
        <w:t xml:space="preserve">explica que otros actores internacionales que están empezando a mostrar interés son los family offices europeos. </w:t>
      </w:r>
      <w:r>
        <w:rPr>
          <w:rFonts w:ascii="Helvetica Neue" w:hAnsi="Helvetica Neue" w:cs="Helvetica Neue"/>
          <w:color w:val="1A1A1A"/>
        </w:rPr>
        <w:t>"Hasta ahora hemos estado en contacto con algunos de sus representantes, interesados en lo que estamos haciendo en el país". A diferencia de las family offices colombianas que son aún conservadoras al considerar el riesgo de sus inversiones, estas instituciones europeas son algo totalmente distinto.</w:t>
      </w:r>
    </w:p>
    <w:p w:rsidR="0040527E" w:rsidRDefault="0040527E" w:rsidP="0040527E">
      <w:pPr>
        <w:widowControl w:val="0"/>
        <w:autoSpaceDE w:val="0"/>
        <w:autoSpaceDN w:val="0"/>
        <w:adjustRightInd w:val="0"/>
        <w:spacing w:after="360"/>
        <w:rPr>
          <w:rFonts w:ascii="Helvetica Neue" w:hAnsi="Helvetica Neue" w:cs="Helvetica Neue"/>
          <w:color w:val="1A1A1A"/>
        </w:rPr>
      </w:pPr>
      <w:r>
        <w:rPr>
          <w:rFonts w:ascii="Helvetica Neue" w:hAnsi="Helvetica Neue" w:cs="Helvetica Neue"/>
          <w:b/>
          <w:bCs/>
          <w:color w:val="1A1A1A"/>
        </w:rPr>
        <w:t>La función de ColCapital</w:t>
      </w:r>
    </w:p>
    <w:p w:rsidR="0040527E" w:rsidRDefault="0040527E" w:rsidP="0040527E">
      <w:pPr>
        <w:widowControl w:val="0"/>
        <w:autoSpaceDE w:val="0"/>
        <w:autoSpaceDN w:val="0"/>
        <w:adjustRightInd w:val="0"/>
        <w:spacing w:after="360"/>
        <w:rPr>
          <w:rFonts w:ascii="Helvetica Neue" w:hAnsi="Helvetica Neue" w:cs="Helvetica Neue"/>
          <w:color w:val="1A1A1A"/>
        </w:rPr>
      </w:pPr>
      <w:r>
        <w:rPr>
          <w:rFonts w:ascii="Helvetica Neue" w:hAnsi="Helvetica Neue" w:cs="Helvetica Neue"/>
          <w:color w:val="1A1A1A"/>
        </w:rPr>
        <w:t xml:space="preserve">La asociación se ha convertido en el principal representante de la industria de private equity y venture capital en Colombia. Creada en 2012, nace de la iniciativa de los propios gestores profesionales y proveedores de servicios que se unieron a esta iniciativa, que para entonces consideraron que la industria tenía un tamaño y desarrollo suficientes para contar con su propia organización. Actualmente cuenta con 66 miembros, de los cuales 33 afiliados son gestores profesionales y el resto proveedores de servicios. La asociación busca convertirse en </w:t>
      </w:r>
      <w:r>
        <w:rPr>
          <w:rFonts w:ascii="Helvetica Neue" w:hAnsi="Helvetica Neue" w:cs="Helvetica Neue"/>
          <w:b/>
          <w:bCs/>
          <w:color w:val="1A1A1A"/>
        </w:rPr>
        <w:t>"el principal agente transformador, facilitador, articulador de la  industria, a través de la representación del interés común de sus miembros, así como la promoción de los más altos estándares de gestión y gobierno",</w:t>
      </w:r>
      <w:r>
        <w:rPr>
          <w:rFonts w:ascii="Helvetica Neue" w:hAnsi="Helvetica Neue" w:cs="Helvetica Neue"/>
          <w:color w:val="1A1A1A"/>
        </w:rPr>
        <w:t xml:space="preserve"> explica Muñoz Méndez. Para ello elaboran documentación sobre la evolución de la industria, mejores prácticas, colaboran estrechamente con los reguladores y el Gobierno en el desarrollo de la regulación, organizan eventos y cursos de formación para los miembros de la industria e interesados, promueven la inversión en el sector, entre otras actividades.</w:t>
      </w:r>
    </w:p>
    <w:p w:rsidR="0040527E" w:rsidRDefault="0040527E" w:rsidP="0040527E">
      <w:pPr>
        <w:widowControl w:val="0"/>
        <w:autoSpaceDE w:val="0"/>
        <w:autoSpaceDN w:val="0"/>
        <w:adjustRightInd w:val="0"/>
        <w:spacing w:after="360"/>
        <w:rPr>
          <w:rFonts w:ascii="Helvetica Neue" w:hAnsi="Helvetica Neue" w:cs="Helvetica Neue"/>
          <w:color w:val="1A1A1A"/>
        </w:rPr>
      </w:pPr>
      <w:r>
        <w:rPr>
          <w:rFonts w:ascii="Helvetica Neue" w:hAnsi="Helvetica Neue" w:cs="Helvetica Neue"/>
          <w:color w:val="1A1A1A"/>
        </w:rPr>
        <w:t xml:space="preserve">Entre los grande logros de la industria este año destaca el lanzamiento de las guías de mejores prácticas en reporte y valoración realizadas con apoyo de la CAF, así como la primera versión de la Academia FCP realizada por FOMIN, Bancóldex e INALDE, con el apoyo de la Asociación. </w:t>
      </w:r>
      <w:r>
        <w:rPr>
          <w:rFonts w:ascii="Helvetica Neue" w:hAnsi="Helvetica Neue" w:cs="Helvetica Neue"/>
          <w:b/>
          <w:bCs/>
          <w:color w:val="1A1A1A"/>
        </w:rPr>
        <w:t xml:space="preserve">Actualmente trabajan con las autoridades en el desarrollo de una nueva normativa de la industria, de la que se espera tener un primer boceto a finales de año. </w:t>
      </w:r>
      <w:r>
        <w:rPr>
          <w:rFonts w:ascii="Helvetica Neue" w:hAnsi="Helvetica Neue" w:cs="Helvetica Neue"/>
          <w:color w:val="1A1A1A"/>
        </w:rPr>
        <w:t>Asimismo, se encuentran organizando la primera versión de la gala de la industria (para el mes de septiembre), donde esperan premiar y reconocer a los gestores y proveedores de servicios que se han destacado por su contribución al desarrollo de la industria en Colombia.</w:t>
      </w:r>
    </w:p>
    <w:p w:rsidR="0040527E" w:rsidRDefault="0040527E" w:rsidP="0040527E">
      <w:pPr>
        <w:widowControl w:val="0"/>
        <w:autoSpaceDE w:val="0"/>
        <w:autoSpaceDN w:val="0"/>
        <w:adjustRightInd w:val="0"/>
        <w:rPr>
          <w:rFonts w:ascii="Helvetica Neue" w:hAnsi="Helvetica Neue" w:cs="Helvetica Neue"/>
          <w:color w:val="1A1A1A"/>
          <w:sz w:val="20"/>
          <w:szCs w:val="20"/>
        </w:rPr>
      </w:pPr>
      <w:r>
        <w:rPr>
          <w:rFonts w:ascii="Helvetica Neue" w:hAnsi="Helvetica Neue" w:cs="Helvetica Neue"/>
          <w:b/>
          <w:bCs/>
          <w:color w:val="1A1A1A"/>
          <w:sz w:val="20"/>
          <w:szCs w:val="20"/>
        </w:rPr>
        <w:t>AVISO:</w:t>
      </w:r>
    </w:p>
    <w:p w:rsidR="0040527E" w:rsidRDefault="0040527E" w:rsidP="0040527E">
      <w:pPr>
        <w:widowControl w:val="0"/>
        <w:autoSpaceDE w:val="0"/>
        <w:autoSpaceDN w:val="0"/>
        <w:adjustRightInd w:val="0"/>
        <w:rPr>
          <w:rFonts w:ascii="Helvetica Neue" w:hAnsi="Helvetica Neue" w:cs="Helvetica Neue"/>
          <w:color w:val="1A1A1A"/>
          <w:sz w:val="20"/>
          <w:szCs w:val="20"/>
        </w:rPr>
      </w:pPr>
      <w:r>
        <w:rPr>
          <w:rFonts w:ascii="Helvetica Neue" w:hAnsi="Helvetica Neue" w:cs="Helvetica Neue"/>
          <w:color w:val="1A1A1A"/>
          <w:sz w:val="20"/>
          <w:szCs w:val="20"/>
        </w:rPr>
        <w:t>La presente publicación no constituye una oferta para la compra, venta o la realización de cualquier otra transacción, ya sea de carácter pública o privada, respecto de los valores a que se refiere. El autor de esta publicación y Funds People Latam no son ni representan de ninguna forma a los emisores, intermediarios, depositarios ni ninguna otra persona que participe o pueda participar en la inscripción, colocación, depósito, custodia, transacción y otros actos o convenciones respecto de los valores a que se refiere esta publicación. Los valores referidos en esta publicación son de exclusiva responsabilidad de sus respectivos emisores, intermediarios, depositarios y demás personas o entidades que participen o puedan participar en su inscripción, colocación, depósito, transacción u otros actos o convenciones a su respecto; el autor y Funds People Latam no garantizan ni asumen responsabilidad alguna por la rentabilidad de los valores a que se refiere esta publicación ni por la solvencia de los emisores de tales valores. La presente publicación no constituye una recomendación de inversión y su fin es meramente informativo.</w:t>
      </w:r>
    </w:p>
    <w:p w:rsidR="00A56F59" w:rsidRDefault="0040527E" w:rsidP="0040527E">
      <w:r>
        <w:rPr>
          <w:rFonts w:ascii="Helvetica Neue" w:hAnsi="Helvetica Neue" w:cs="Helvetica Neue"/>
          <w:color w:val="1A1A1A"/>
        </w:rPr>
        <w:t>- See more at: http://fundspeople.cl/noticias/la-industria-de-private-equity-en-colombia-vive-un-momento-clave#sthash.dddLoarN.dpuf</w:t>
      </w:r>
    </w:p>
    <w:sectPr w:rsidR="00A56F59" w:rsidSect="0040527E">
      <w:pgSz w:w="12240" w:h="15840"/>
      <w:pgMar w:top="1152" w:right="1152" w:bottom="1152" w:left="1152"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07CFC"/>
    <w:multiLevelType w:val="hybridMultilevel"/>
    <w:tmpl w:val="65D88BB4"/>
    <w:lvl w:ilvl="0" w:tplc="EDF09FD6">
      <w:start w:val="1"/>
      <w:numFmt w:val="upperLetter"/>
      <w:pStyle w:val="Heading2"/>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0527E"/>
    <w:rsid w:val="0040527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D3"/>
    <w:rPr>
      <w:sz w:val="24"/>
      <w:szCs w:val="24"/>
    </w:rPr>
  </w:style>
  <w:style w:type="paragraph" w:styleId="Heading2">
    <w:name w:val="heading 2"/>
    <w:basedOn w:val="Normal"/>
    <w:next w:val="Normal"/>
    <w:link w:val="Heading2Char"/>
    <w:autoRedefine/>
    <w:rsid w:val="00704047"/>
    <w:pPr>
      <w:keepNext/>
      <w:keepLines/>
      <w:numPr>
        <w:numId w:val="1"/>
      </w:numPr>
      <w:outlineLvl w:val="1"/>
    </w:pPr>
    <w:rPr>
      <w:rFonts w:ascii="Times New Roman" w:eastAsiaTheme="majorEastAsia" w:hAnsi="Times New Roman" w:cstheme="majorBidi"/>
      <w:b/>
      <w:bCs/>
      <w:sz w:val="20"/>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704047"/>
    <w:rPr>
      <w:rFonts w:ascii="Times New Roman" w:eastAsiaTheme="majorEastAsia" w:hAnsi="Times New Roman" w:cstheme="majorBidi"/>
      <w:b/>
      <w:bCs/>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lus.google.com/115890854276851870326?rel=author" TargetMode="External"/><Relationship Id="rId6" Type="http://schemas.openxmlformats.org/officeDocument/2006/relationships/hyperlink" Target="http://fundspeople.cl/temas/alternativos" TargetMode="External"/><Relationship Id="rId7" Type="http://schemas.openxmlformats.org/officeDocument/2006/relationships/hyperlink" Target="http://fundspeople.cl/paises/colombi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5360</Characters>
  <Application>Microsoft Macintosh Word</Application>
  <DocSecurity>0</DocSecurity>
  <Lines>44</Lines>
  <Paragraphs>10</Paragraphs>
  <ScaleCrop>false</ScaleCrop>
  <Company>Millennia Consulting</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Christina Kappaz</cp:lastModifiedBy>
  <cp:revision>1</cp:revision>
  <dcterms:created xsi:type="dcterms:W3CDTF">2014-08-11T14:03:00Z</dcterms:created>
  <dcterms:modified xsi:type="dcterms:W3CDTF">2014-08-11T14:03:00Z</dcterms:modified>
</cp:coreProperties>
</file>